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4D287" w14:textId="37BA0DFD" w:rsidR="00254802" w:rsidRPr="002E2511" w:rsidRDefault="00162FD2" w:rsidP="00162FD2">
      <w:pPr>
        <w:jc w:val="center"/>
        <w:rPr>
          <w:b/>
          <w:bCs/>
          <w:sz w:val="28"/>
          <w:szCs w:val="28"/>
        </w:rPr>
      </w:pPr>
      <w:r w:rsidRPr="002E2511">
        <w:rPr>
          <w:b/>
          <w:bCs/>
          <w:sz w:val="28"/>
          <w:szCs w:val="28"/>
        </w:rPr>
        <w:t xml:space="preserve">Towards an </w:t>
      </w:r>
      <w:r w:rsidR="00440B3E" w:rsidRPr="002E2511">
        <w:rPr>
          <w:b/>
          <w:bCs/>
          <w:sz w:val="28"/>
          <w:szCs w:val="28"/>
        </w:rPr>
        <w:t xml:space="preserve">integrated </w:t>
      </w:r>
      <w:r w:rsidRPr="002E2511">
        <w:rPr>
          <w:b/>
          <w:bCs/>
          <w:sz w:val="28"/>
          <w:szCs w:val="28"/>
        </w:rPr>
        <w:t>automat</w:t>
      </w:r>
      <w:r w:rsidR="00440B3E" w:rsidRPr="002E2511">
        <w:rPr>
          <w:b/>
          <w:bCs/>
          <w:sz w:val="28"/>
          <w:szCs w:val="28"/>
        </w:rPr>
        <w:t>ic</w:t>
      </w:r>
      <w:r w:rsidRPr="002E2511">
        <w:rPr>
          <w:b/>
          <w:bCs/>
          <w:sz w:val="28"/>
          <w:szCs w:val="28"/>
        </w:rPr>
        <w:t xml:space="preserve"> platform for r</w:t>
      </w:r>
      <w:r w:rsidR="00254802" w:rsidRPr="002E2511">
        <w:rPr>
          <w:b/>
          <w:bCs/>
          <w:sz w:val="28"/>
          <w:szCs w:val="28"/>
        </w:rPr>
        <w:t xml:space="preserve">apid determination of antibiotic susceptibility of </w:t>
      </w:r>
      <w:r w:rsidR="00A67542" w:rsidRPr="002E2511">
        <w:rPr>
          <w:b/>
          <w:bCs/>
          <w:sz w:val="28"/>
          <w:szCs w:val="28"/>
        </w:rPr>
        <w:t xml:space="preserve">target </w:t>
      </w:r>
      <w:r w:rsidR="00254802" w:rsidRPr="002E2511">
        <w:rPr>
          <w:b/>
          <w:bCs/>
          <w:sz w:val="28"/>
          <w:szCs w:val="28"/>
        </w:rPr>
        <w:t>bacteria</w:t>
      </w:r>
    </w:p>
    <w:p w14:paraId="19873288" w14:textId="19CE7D82" w:rsidR="00162FD2" w:rsidRPr="002E2511" w:rsidRDefault="00162FD2" w:rsidP="00162FD2">
      <w:pPr>
        <w:jc w:val="center"/>
        <w:rPr>
          <w:iCs/>
        </w:rPr>
      </w:pPr>
      <w:r w:rsidRPr="002E2511">
        <w:t>Sorin David</w:t>
      </w:r>
      <w:r w:rsidR="00B65856" w:rsidRPr="002E2511">
        <w:rPr>
          <w:vertAlign w:val="superscript"/>
        </w:rPr>
        <w:t>1</w:t>
      </w:r>
      <w:r w:rsidRPr="002E2511">
        <w:t>, Ionela-Cristina Petcu</w:t>
      </w:r>
      <w:r w:rsidR="00B65856" w:rsidRPr="002E2511">
        <w:rPr>
          <w:vertAlign w:val="superscript"/>
        </w:rPr>
        <w:t>1,2</w:t>
      </w:r>
      <w:r w:rsidRPr="002E2511">
        <w:t>, Ioana-Cristina Cernat</w:t>
      </w:r>
      <w:r w:rsidR="00B65856" w:rsidRPr="002E2511">
        <w:rPr>
          <w:vertAlign w:val="superscript"/>
        </w:rPr>
        <w:t>1,2</w:t>
      </w:r>
      <w:r w:rsidRPr="002E2511">
        <w:t>, Cristina Polonschii</w:t>
      </w:r>
      <w:r w:rsidR="00B65856" w:rsidRPr="002E2511">
        <w:rPr>
          <w:vertAlign w:val="superscript"/>
        </w:rPr>
        <w:t>1</w:t>
      </w:r>
      <w:r w:rsidRPr="002E2511">
        <w:t>, Raluca-Elena Munteanu</w:t>
      </w:r>
      <w:r w:rsidR="00B65856" w:rsidRPr="002E2511">
        <w:rPr>
          <w:vertAlign w:val="superscript"/>
        </w:rPr>
        <w:t>1,3</w:t>
      </w:r>
      <w:r w:rsidRPr="002E2511">
        <w:t>, Mihaela Gheorghiu</w:t>
      </w:r>
      <w:r w:rsidR="00B65856" w:rsidRPr="002E2511">
        <w:rPr>
          <w:vertAlign w:val="superscript"/>
        </w:rPr>
        <w:t>1,3</w:t>
      </w:r>
      <w:r w:rsidRPr="002E2511">
        <w:t>, Dumitru Bratu</w:t>
      </w:r>
      <w:r w:rsidR="00B65856" w:rsidRPr="002E2511">
        <w:rPr>
          <w:vertAlign w:val="superscript"/>
        </w:rPr>
        <w:t>1</w:t>
      </w:r>
      <w:r w:rsidRPr="002E2511">
        <w:t>, Daniela Tudor</w:t>
      </w:r>
      <w:r w:rsidR="00B65856" w:rsidRPr="002E2511">
        <w:rPr>
          <w:vertAlign w:val="superscript"/>
        </w:rPr>
        <w:t xml:space="preserve">1,3 </w:t>
      </w:r>
      <w:r w:rsidR="00B65856" w:rsidRPr="002E2511">
        <w:t>and</w:t>
      </w:r>
      <w:r w:rsidRPr="002E2511">
        <w:t xml:space="preserve"> Eugen Gheorghiu</w:t>
      </w:r>
      <w:r w:rsidR="00B65856" w:rsidRPr="002E2511">
        <w:rPr>
          <w:vertAlign w:val="superscript"/>
        </w:rPr>
        <w:t>1,3</w:t>
      </w:r>
    </w:p>
    <w:p w14:paraId="766288B7" w14:textId="76F2EB4F" w:rsidR="002E2511" w:rsidRPr="002E2511" w:rsidRDefault="002E2511" w:rsidP="002E2511">
      <w:pPr>
        <w:spacing w:line="240" w:lineRule="auto"/>
        <w:jc w:val="center"/>
      </w:pPr>
      <w:r w:rsidRPr="002E2511">
        <w:rPr>
          <w:i/>
          <w:iCs/>
          <w:vertAlign w:val="superscript"/>
        </w:rPr>
        <w:t>1</w:t>
      </w:r>
      <w:r w:rsidRPr="002E2511">
        <w:rPr>
          <w:i/>
          <w:iCs/>
        </w:rPr>
        <w:t xml:space="preserve">International Centre of Biodynamics, Bucharest, Romania; </w:t>
      </w:r>
      <w:r w:rsidRPr="002E2511">
        <w:rPr>
          <w:i/>
          <w:iCs/>
          <w:vertAlign w:val="superscript"/>
        </w:rPr>
        <w:t>2</w:t>
      </w:r>
      <w:r w:rsidRPr="002E2511">
        <w:rPr>
          <w:i/>
          <w:iCs/>
        </w:rPr>
        <w:t xml:space="preserve">University POLITEHNICA of Bucharest, Romania; </w:t>
      </w:r>
      <w:r w:rsidRPr="002E2511">
        <w:rPr>
          <w:i/>
          <w:iCs/>
          <w:vertAlign w:val="superscript"/>
        </w:rPr>
        <w:t>3</w:t>
      </w:r>
      <w:r w:rsidRPr="002E2511">
        <w:rPr>
          <w:i/>
          <w:iCs/>
        </w:rPr>
        <w:t>University of Bucharest, Romania</w:t>
      </w:r>
    </w:p>
    <w:p w14:paraId="40D0799F" w14:textId="65D34DF4" w:rsidR="00254802" w:rsidRPr="002E2511" w:rsidRDefault="00254802" w:rsidP="007F3B69">
      <w:pPr>
        <w:spacing w:line="240" w:lineRule="auto"/>
        <w:jc w:val="both"/>
      </w:pPr>
      <w:r w:rsidRPr="002E2511">
        <w:t>Rapid detection and assessment of antibiotic susceptibility of target pathogenic bacteria is demonstrated in a label-free format, further advancing our portable analytical platform</w:t>
      </w:r>
      <w:r w:rsidR="00162FD2" w:rsidRPr="002E2511">
        <w:t xml:space="preserve"> </w:t>
      </w:r>
      <w:r w:rsidRPr="002E2511">
        <w:t xml:space="preserve">1, 2. </w:t>
      </w:r>
    </w:p>
    <w:p w14:paraId="0003DD06" w14:textId="463A0123" w:rsidR="00254802" w:rsidRPr="002E2511" w:rsidRDefault="00440B3E" w:rsidP="007F3B69">
      <w:pPr>
        <w:spacing w:line="240" w:lineRule="auto"/>
        <w:jc w:val="both"/>
      </w:pPr>
      <w:r w:rsidRPr="002E2511">
        <w:t>Immunomagnetic separation combined with p</w:t>
      </w:r>
      <w:r w:rsidR="00254802" w:rsidRPr="002E2511">
        <w:t xml:space="preserve">eriodic magnetic actuation </w:t>
      </w:r>
      <w:r w:rsidRPr="002E2511">
        <w:t>and</w:t>
      </w:r>
      <w:r w:rsidR="00254802" w:rsidRPr="002E2511">
        <w:t xml:space="preserve"> electrical impedance spectroscopy (EIS)</w:t>
      </w:r>
      <w:r w:rsidRPr="002E2511">
        <w:t xml:space="preserve"> monitoring</w:t>
      </w:r>
      <w:r w:rsidR="00254802" w:rsidRPr="002E2511">
        <w:t xml:space="preserve"> are used in an innovative set-up allowing identification and determination of antibiotic susceptibility of t</w:t>
      </w:r>
      <w:r w:rsidRPr="002E2511">
        <w:t>arget</w:t>
      </w:r>
      <w:r w:rsidR="00254802" w:rsidRPr="002E2511">
        <w:t xml:space="preserve"> bacteria </w:t>
      </w:r>
      <w:r w:rsidRPr="002E2511">
        <w:t>captured with specific magnetic nanoparticles (MNP).</w:t>
      </w:r>
    </w:p>
    <w:p w14:paraId="61D003B8" w14:textId="56DEAD48" w:rsidR="00254802" w:rsidRPr="002E2511" w:rsidRDefault="00254802" w:rsidP="007F3B69">
      <w:pPr>
        <w:spacing w:line="240" w:lineRule="auto"/>
        <w:jc w:val="both"/>
      </w:pPr>
      <w:r w:rsidRPr="002E2511">
        <w:t>Based on formation of Bacteria-M</w:t>
      </w:r>
      <w:r w:rsidR="00440B3E" w:rsidRPr="002E2511">
        <w:t>NP</w:t>
      </w:r>
      <w:r w:rsidRPr="002E2511">
        <w:t xml:space="preserve"> aggregates and their magneto-hydrodynamic </w:t>
      </w:r>
      <w:r w:rsidR="00835B6A" w:rsidRPr="002E2511">
        <w:t>behavior</w:t>
      </w:r>
      <w:r w:rsidRPr="002E2511">
        <w:t xml:space="preserve"> the EIS data provide rapid detection of intact target bacteria, and in conjunction with, microscopic modeling and complementary optical assays, to antibiotic susceptibility information. </w:t>
      </w:r>
    </w:p>
    <w:p w14:paraId="160F9F36" w14:textId="217060FC" w:rsidR="00254802" w:rsidRPr="002E2511" w:rsidRDefault="00254802" w:rsidP="007F3B69">
      <w:pPr>
        <w:spacing w:line="240" w:lineRule="auto"/>
        <w:jc w:val="both"/>
      </w:pPr>
      <w:r w:rsidRPr="002E2511">
        <w:t xml:space="preserve">Impedance data at two selected frequencies, highlight the magneto-hydrodynamic </w:t>
      </w:r>
      <w:r w:rsidR="00835B6A" w:rsidRPr="002E2511">
        <w:t>behavior</w:t>
      </w:r>
      <w:r w:rsidRPr="002E2511">
        <w:t xml:space="preserve"> contrast related to different antibiotic effects demonstrating method capability to both detect and assess antibiotic susceptibility of target bacteria. </w:t>
      </w:r>
    </w:p>
    <w:p w14:paraId="5160295D" w14:textId="737A4C2E" w:rsidR="00254802" w:rsidRPr="002E2511" w:rsidRDefault="00254802" w:rsidP="007F3B69">
      <w:pPr>
        <w:spacing w:line="240" w:lineRule="auto"/>
        <w:jc w:val="both"/>
      </w:pPr>
      <w:r w:rsidRPr="002E2511">
        <w:t xml:space="preserve">We report on rapid pathogen detection and determination of antibiotic susceptibility directly from </w:t>
      </w:r>
      <w:r w:rsidR="00717B1F" w:rsidRPr="002E2511">
        <w:t>spiked</w:t>
      </w:r>
      <w:r w:rsidRPr="002E2511">
        <w:t xml:space="preserve"> samples.</w:t>
      </w:r>
    </w:p>
    <w:p w14:paraId="711FBEE2" w14:textId="4756123B" w:rsidR="00254802" w:rsidRPr="002E2511" w:rsidRDefault="00254802" w:rsidP="007F3B69">
      <w:pPr>
        <w:spacing w:line="240" w:lineRule="auto"/>
        <w:jc w:val="both"/>
      </w:pPr>
      <w:r w:rsidRPr="002E2511">
        <w:t xml:space="preserve">All components of the assays are </w:t>
      </w:r>
      <w:r w:rsidR="00440B3E" w:rsidRPr="002E2511">
        <w:t>integrated</w:t>
      </w:r>
      <w:r w:rsidRPr="002E2511">
        <w:t xml:space="preserve"> into an automated system to enable rapid point of care diagnostic support.</w:t>
      </w:r>
    </w:p>
    <w:p w14:paraId="0C14BDCD" w14:textId="77777777" w:rsidR="00162FD2" w:rsidRPr="002E2511" w:rsidRDefault="00162FD2" w:rsidP="007F3B69">
      <w:pPr>
        <w:spacing w:line="240" w:lineRule="auto"/>
        <w:jc w:val="both"/>
      </w:pPr>
      <w:r w:rsidRPr="002E2511">
        <w:t>Acknowledgements</w:t>
      </w:r>
    </w:p>
    <w:p w14:paraId="3CFD852E" w14:textId="71094CB2" w:rsidR="00162FD2" w:rsidRPr="002E2511" w:rsidRDefault="00162FD2" w:rsidP="007F3B69">
      <w:pPr>
        <w:spacing w:line="240" w:lineRule="auto"/>
      </w:pPr>
      <w:r w:rsidRPr="002E2511">
        <w:t xml:space="preserve">Support of PNIII projects </w:t>
      </w:r>
      <w:r w:rsidR="004B4877" w:rsidRPr="002E2511">
        <w:t xml:space="preserve">P2-2.1-PED-2019-4932, -5185, -5155, </w:t>
      </w:r>
      <w:r w:rsidRPr="002E2511">
        <w:t>P4-ID-PCE-2020-</w:t>
      </w:r>
      <w:r w:rsidR="004B4877" w:rsidRPr="002E2511">
        <w:t>4932</w:t>
      </w:r>
      <w:r w:rsidRPr="002E2511">
        <w:t xml:space="preserve"> and -1433 is gratefully acknowledged.</w:t>
      </w:r>
    </w:p>
    <w:p w14:paraId="64EB0608" w14:textId="77777777" w:rsidR="00162FD2" w:rsidRPr="002E2511" w:rsidRDefault="00162FD2" w:rsidP="007F3B69">
      <w:pPr>
        <w:spacing w:line="240" w:lineRule="auto"/>
      </w:pPr>
      <w:r w:rsidRPr="002E2511">
        <w:t>References</w:t>
      </w:r>
    </w:p>
    <w:p w14:paraId="27535652" w14:textId="77777777" w:rsidR="00162FD2" w:rsidRPr="002E2511" w:rsidRDefault="00162FD2" w:rsidP="007F3B69">
      <w:pPr>
        <w:spacing w:after="0" w:line="240" w:lineRule="auto"/>
      </w:pPr>
      <w:r w:rsidRPr="002E2511">
        <w:t>1. David S., Polonschii C, Gheorghiu M., Bratu D., Gheorghiu E., Lab Chip, 2013, 13, 3192–98</w:t>
      </w:r>
    </w:p>
    <w:p w14:paraId="43235377" w14:textId="77777777" w:rsidR="00162FD2" w:rsidRPr="002E2511" w:rsidRDefault="00162FD2" w:rsidP="007F3B69">
      <w:pPr>
        <w:spacing w:after="0" w:line="240" w:lineRule="auto"/>
      </w:pPr>
      <w:r w:rsidRPr="002E2511">
        <w:t xml:space="preserve">2. Gheorghiu E., David S., Polonschii C., Bratu D., U.S. Patent 9,315,855/ 2016 </w:t>
      </w:r>
    </w:p>
    <w:p w14:paraId="3D45E79A" w14:textId="77777777" w:rsidR="00162FD2" w:rsidRPr="002E2511" w:rsidRDefault="00162FD2" w:rsidP="007F3B69">
      <w:pPr>
        <w:spacing w:after="0" w:line="240" w:lineRule="auto"/>
      </w:pPr>
      <w:r w:rsidRPr="002E2511">
        <w:t xml:space="preserve">3. </w:t>
      </w:r>
      <w:proofErr w:type="spellStart"/>
      <w:r w:rsidRPr="002E2511">
        <w:t>Sandu</w:t>
      </w:r>
      <w:proofErr w:type="spellEnd"/>
      <w:r w:rsidRPr="002E2511">
        <w:t xml:space="preserve"> T., </w:t>
      </w:r>
      <w:proofErr w:type="spellStart"/>
      <w:r w:rsidRPr="002E2511">
        <w:t>Vrinceanu</w:t>
      </w:r>
      <w:proofErr w:type="spellEnd"/>
      <w:r w:rsidRPr="002E2511">
        <w:t xml:space="preserve"> D., Gheorghiu E., Phys. Rev E, 2010, 81, 0219131-11</w:t>
      </w:r>
    </w:p>
    <w:p w14:paraId="3DD2E3F3" w14:textId="77777777" w:rsidR="00162FD2" w:rsidRPr="002E2511" w:rsidRDefault="00162FD2" w:rsidP="007F3B69">
      <w:pPr>
        <w:spacing w:after="0" w:line="240" w:lineRule="auto"/>
      </w:pPr>
      <w:r w:rsidRPr="002E2511">
        <w:t>4. C. Polonschii, et al, Light Sci Appl, 2021, 10, 20</w:t>
      </w:r>
    </w:p>
    <w:p w14:paraId="6EB08AD8" w14:textId="5E7FB56C" w:rsidR="00254802" w:rsidRPr="002E2511" w:rsidRDefault="00162FD2" w:rsidP="007F3B69">
      <w:pPr>
        <w:spacing w:after="0" w:line="240" w:lineRule="auto"/>
      </w:pPr>
      <w:r w:rsidRPr="002E2511">
        <w:t>5. Gheorghiu E., Detection of pathogenic bacteria by magneto-immunoassays: a review, The Journal of Biomedical Research, 2021, 1-7</w:t>
      </w:r>
    </w:p>
    <w:sectPr w:rsidR="00254802" w:rsidRPr="002E2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9280C"/>
    <w:multiLevelType w:val="hybridMultilevel"/>
    <w:tmpl w:val="CDE66804"/>
    <w:lvl w:ilvl="0" w:tplc="85105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68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02"/>
    <w:rsid w:val="00162FD2"/>
    <w:rsid w:val="00254802"/>
    <w:rsid w:val="002E041E"/>
    <w:rsid w:val="002E2511"/>
    <w:rsid w:val="003A2DED"/>
    <w:rsid w:val="00440B3E"/>
    <w:rsid w:val="004B4877"/>
    <w:rsid w:val="00717B1F"/>
    <w:rsid w:val="007F3B69"/>
    <w:rsid w:val="00835B6A"/>
    <w:rsid w:val="00A67542"/>
    <w:rsid w:val="00B65856"/>
    <w:rsid w:val="00FE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468C4"/>
  <w15:chartTrackingRefBased/>
  <w15:docId w15:val="{A1D5E484-3178-4918-9F79-BB8A6E4D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David</dc:creator>
  <cp:keywords/>
  <dc:description/>
  <cp:lastModifiedBy>Sorin David</cp:lastModifiedBy>
  <cp:revision>9</cp:revision>
  <dcterms:created xsi:type="dcterms:W3CDTF">2022-06-22T09:12:00Z</dcterms:created>
  <dcterms:modified xsi:type="dcterms:W3CDTF">2022-06-28T13:57:00Z</dcterms:modified>
</cp:coreProperties>
</file>