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6F54A6" w14:textId="433CF9EE" w:rsidR="00AB0A04" w:rsidRPr="008A48DD" w:rsidRDefault="00AB0A04" w:rsidP="00AB0A04">
      <w:pPr>
        <w:jc w:val="center"/>
        <w:rPr>
          <w:rFonts w:ascii="UT Sans" w:hAnsi="UT Sans"/>
          <w:b/>
          <w:bCs/>
          <w:sz w:val="28"/>
          <w:szCs w:val="28"/>
        </w:rPr>
      </w:pPr>
      <w:r w:rsidRPr="008A48DD">
        <w:rPr>
          <w:rFonts w:ascii="UT Sans" w:hAnsi="UT Sans"/>
          <w:b/>
          <w:bCs/>
          <w:sz w:val="28"/>
          <w:szCs w:val="28"/>
        </w:rPr>
        <w:t>Determination studies of urinary bioactive metabolites</w:t>
      </w:r>
    </w:p>
    <w:p w14:paraId="154CEB71" w14:textId="606B3F6C" w:rsidR="00035837" w:rsidRPr="008A48DD" w:rsidRDefault="00035837" w:rsidP="00AB0A04">
      <w:pPr>
        <w:jc w:val="center"/>
        <w:rPr>
          <w:rFonts w:ascii="UT Sans" w:eastAsiaTheme="minorEastAsia" w:hAnsi="UT Sans"/>
          <w:b/>
          <w:bCs/>
          <w:sz w:val="28"/>
          <w:szCs w:val="28"/>
        </w:rPr>
      </w:pPr>
      <m:oMathPara>
        <m:oMath>
          <m:sSup>
            <m:sSupPr>
              <m:ctrlPr>
                <w:rPr>
                  <w:rFonts w:ascii="Cambria Math" w:hAnsi="Cambria Math"/>
                  <w:b/>
                  <w:bCs/>
                  <w:i/>
                  <w:sz w:val="28"/>
                  <w:szCs w:val="28"/>
                </w:rPr>
              </m:ctrlPr>
            </m:sSupPr>
            <m:e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L. Chelmea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1</m:t>
              </m:r>
            </m:sup>
          </m:sSup>
          <m:r>
            <m:rPr>
              <m:sty m:val="bi"/>
            </m:rPr>
            <w:rPr>
              <w:rFonts w:ascii="Cambria Math" w:hAnsi="Cambria Math"/>
              <w:sz w:val="28"/>
              <w:szCs w:val="28"/>
            </w:rPr>
            <m:t xml:space="preserve">, </m:t>
          </m:r>
          <m:sSup>
            <m:sSupPr>
              <m:ctrlPr>
                <w:rPr>
                  <w:rFonts w:ascii="Cambria Math" w:hAnsi="Cambria Math"/>
                  <w:b/>
                  <w:bCs/>
                  <w:i/>
                  <w:sz w:val="28"/>
                  <w:szCs w:val="28"/>
                </w:rPr>
              </m:ctrlPr>
            </m:sSupPr>
            <m:e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M. Badea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1</m:t>
              </m:r>
            </m:sup>
          </m:sSup>
          <m:r>
            <m:rPr>
              <m:sty m:val="bi"/>
            </m:rPr>
            <w:rPr>
              <w:rFonts w:ascii="Cambria Math" w:hAnsi="Cambria Math"/>
              <w:sz w:val="28"/>
              <w:szCs w:val="28"/>
            </w:rPr>
            <m:t xml:space="preserve">, </m:t>
          </m:r>
          <m:sSup>
            <m:sSupPr>
              <m:ctrlPr>
                <w:rPr>
                  <w:rFonts w:ascii="Cambria Math" w:hAnsi="Cambria Math"/>
                  <w:b/>
                  <w:bCs/>
                  <w:i/>
                  <w:sz w:val="28"/>
                  <w:szCs w:val="28"/>
                </w:rPr>
              </m:ctrlPr>
            </m:sSupPr>
            <m:e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I. Scarneciu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1</m:t>
              </m:r>
            </m:sup>
          </m:sSup>
        </m:oMath>
      </m:oMathPara>
    </w:p>
    <w:p w14:paraId="0D6CF49E" w14:textId="1A7345E7" w:rsidR="00035837" w:rsidRPr="008A48DD" w:rsidRDefault="00035837" w:rsidP="00AB0A04">
      <w:pPr>
        <w:jc w:val="center"/>
        <w:rPr>
          <w:rFonts w:ascii="UT Sans" w:hAnsi="UT Sans"/>
          <w:b/>
          <w:bCs/>
          <w:sz w:val="28"/>
          <w:szCs w:val="28"/>
        </w:rPr>
      </w:pPr>
      <w:r w:rsidRPr="008A48DD">
        <w:rPr>
          <w:rFonts w:ascii="UT Sans" w:eastAsiaTheme="minorEastAsia" w:hAnsi="UT Sans" w:cs="Calibri"/>
          <w:b/>
          <w:bCs/>
          <w:sz w:val="28"/>
          <w:szCs w:val="28"/>
        </w:rPr>
        <w:t>¹</w:t>
      </w:r>
      <w:r w:rsidR="008A48DD" w:rsidRPr="008A48DD">
        <w:rPr>
          <w:rFonts w:ascii="UT Sans" w:eastAsiaTheme="minorEastAsia" w:hAnsi="UT Sans" w:cs="Calibri"/>
          <w:b/>
          <w:bCs/>
          <w:sz w:val="28"/>
          <w:szCs w:val="28"/>
        </w:rPr>
        <w:t>Trans</w:t>
      </w:r>
      <w:r w:rsidR="008A48DD">
        <w:rPr>
          <w:rFonts w:ascii="UT Sans" w:eastAsiaTheme="minorEastAsia" w:hAnsi="UT Sans" w:cs="Calibri"/>
          <w:b/>
          <w:bCs/>
          <w:sz w:val="28"/>
          <w:szCs w:val="28"/>
        </w:rPr>
        <w:t>y</w:t>
      </w:r>
      <w:r w:rsidR="008A48DD" w:rsidRPr="008A48DD">
        <w:rPr>
          <w:rFonts w:ascii="UT Sans" w:eastAsiaTheme="minorEastAsia" w:hAnsi="UT Sans" w:cs="Calibri"/>
          <w:b/>
          <w:bCs/>
          <w:sz w:val="28"/>
          <w:szCs w:val="28"/>
        </w:rPr>
        <w:t>lvan</w:t>
      </w:r>
      <w:r w:rsidR="008A48DD">
        <w:rPr>
          <w:rFonts w:ascii="UT Sans" w:eastAsiaTheme="minorEastAsia" w:hAnsi="UT Sans" w:cs="Calibri"/>
          <w:b/>
          <w:bCs/>
          <w:sz w:val="28"/>
          <w:szCs w:val="28"/>
        </w:rPr>
        <w:t>i</w:t>
      </w:r>
      <w:r w:rsidR="008A48DD" w:rsidRPr="008A48DD">
        <w:rPr>
          <w:rFonts w:ascii="UT Sans" w:eastAsiaTheme="minorEastAsia" w:hAnsi="UT Sans" w:cs="Calibri"/>
          <w:b/>
          <w:bCs/>
          <w:sz w:val="28"/>
          <w:szCs w:val="28"/>
        </w:rPr>
        <w:t>a University of Brasov, Faculty of Medicine</w:t>
      </w:r>
    </w:p>
    <w:p w14:paraId="2BD31DDC" w14:textId="5BBA9458" w:rsidR="00AB0A04" w:rsidRPr="008A48DD" w:rsidRDefault="00AB0A04" w:rsidP="00AB0A04">
      <w:pPr>
        <w:jc w:val="center"/>
        <w:rPr>
          <w:rFonts w:ascii="UT Sans" w:hAnsi="UT Sans"/>
          <w:b/>
          <w:bCs/>
          <w:sz w:val="24"/>
          <w:szCs w:val="24"/>
        </w:rPr>
      </w:pPr>
    </w:p>
    <w:p w14:paraId="3D0F1263" w14:textId="54C1C8E4" w:rsidR="00AB0A04" w:rsidRPr="008A48DD" w:rsidRDefault="00AB0A04" w:rsidP="00AB0A04">
      <w:pPr>
        <w:rPr>
          <w:rFonts w:ascii="UT Sans" w:hAnsi="UT Sans"/>
          <w:b/>
          <w:bCs/>
          <w:sz w:val="24"/>
          <w:szCs w:val="24"/>
        </w:rPr>
      </w:pPr>
      <w:r w:rsidRPr="008A48DD">
        <w:rPr>
          <w:rFonts w:ascii="UT Sans" w:hAnsi="UT Sans"/>
          <w:b/>
          <w:bCs/>
          <w:sz w:val="24"/>
          <w:szCs w:val="24"/>
        </w:rPr>
        <w:t>Abst</w:t>
      </w:r>
      <w:r w:rsidR="00647CBE" w:rsidRPr="008A48DD">
        <w:rPr>
          <w:rFonts w:ascii="UT Sans" w:hAnsi="UT Sans"/>
          <w:b/>
          <w:bCs/>
          <w:sz w:val="24"/>
          <w:szCs w:val="24"/>
        </w:rPr>
        <w:t>r</w:t>
      </w:r>
      <w:r w:rsidRPr="008A48DD">
        <w:rPr>
          <w:rFonts w:ascii="UT Sans" w:hAnsi="UT Sans"/>
          <w:b/>
          <w:bCs/>
          <w:sz w:val="24"/>
          <w:szCs w:val="24"/>
        </w:rPr>
        <w:t>act</w:t>
      </w:r>
    </w:p>
    <w:p w14:paraId="06412EA5" w14:textId="77777777" w:rsidR="00AB0A04" w:rsidRPr="008A48DD" w:rsidRDefault="00AB0A04" w:rsidP="00647CBE">
      <w:pPr>
        <w:spacing w:after="0"/>
        <w:ind w:firstLine="720"/>
        <w:jc w:val="both"/>
        <w:rPr>
          <w:rFonts w:ascii="UT Sans" w:hAnsi="UT Sans" w:cstheme="majorHAnsi"/>
          <w:sz w:val="24"/>
          <w:szCs w:val="24"/>
        </w:rPr>
      </w:pPr>
      <w:r w:rsidRPr="008A48DD">
        <w:rPr>
          <w:rFonts w:ascii="UT Sans" w:hAnsi="UT Sans" w:cstheme="majorHAnsi"/>
          <w:sz w:val="24"/>
          <w:szCs w:val="24"/>
        </w:rPr>
        <w:t xml:space="preserve">The control of bacterial infections is starting to destabilize quickly, increasing the risk of sepsis even to immunocompetent patients. Frequently, pathogens involved in those infections are the multi-drug-resistance bacteria, which causes over 700,000 of deaths every year. 36 to 41 % </w:t>
      </w:r>
      <w:r w:rsidRPr="008A48DD">
        <w:rPr>
          <w:rFonts w:ascii="UT Sans" w:hAnsi="UT Sans" w:cs="Arial"/>
          <w:sz w:val="24"/>
          <w:szCs w:val="24"/>
          <w:shd w:val="clear" w:color="auto" w:fill="F8F9FA"/>
        </w:rPr>
        <w:t xml:space="preserve">of healthcare associated infections are the urinary tract infections (UTI), with 80% </w:t>
      </w:r>
      <w:r w:rsidRPr="008A48DD">
        <w:rPr>
          <w:rStyle w:val="Emphasis"/>
          <w:rFonts w:ascii="UT Sans" w:hAnsi="UT Sans"/>
          <w:sz w:val="24"/>
          <w:szCs w:val="24"/>
          <w:bdr w:val="none" w:sz="0" w:space="0" w:color="auto" w:frame="1"/>
          <w:shd w:val="clear" w:color="auto" w:fill="FFFFFF"/>
        </w:rPr>
        <w:t>Escherichia coli</w:t>
      </w:r>
      <w:r w:rsidRPr="008A48DD">
        <w:rPr>
          <w:rFonts w:ascii="UT Sans" w:hAnsi="UT Sans"/>
          <w:sz w:val="24"/>
          <w:szCs w:val="24"/>
          <w:shd w:val="clear" w:color="auto" w:fill="FFFFFF"/>
        </w:rPr>
        <w:t xml:space="preserve"> strains </w:t>
      </w:r>
      <w:r w:rsidRPr="008A48DD">
        <w:rPr>
          <w:rFonts w:ascii="UT Sans" w:hAnsi="UT Sans" w:cs="Arial"/>
          <w:sz w:val="24"/>
          <w:szCs w:val="24"/>
          <w:shd w:val="clear" w:color="auto" w:fill="F8F9FA"/>
        </w:rPr>
        <w:t>as etiological pathogen.</w:t>
      </w:r>
    </w:p>
    <w:p w14:paraId="0DA718C8" w14:textId="77777777" w:rsidR="00AB0A04" w:rsidRPr="008A48DD" w:rsidRDefault="00AB0A04" w:rsidP="00647CBE">
      <w:pPr>
        <w:spacing w:after="0" w:line="240" w:lineRule="auto"/>
        <w:ind w:firstLine="720"/>
        <w:jc w:val="both"/>
        <w:rPr>
          <w:rFonts w:ascii="UT Sans" w:eastAsia="Times New Roman" w:hAnsi="UT Sans" w:cs="Courier New"/>
          <w:sz w:val="24"/>
          <w:szCs w:val="24"/>
          <w:lang w:val="en"/>
        </w:rPr>
      </w:pPr>
      <w:r w:rsidRPr="008A48DD">
        <w:rPr>
          <w:rStyle w:val="y2iqfc"/>
          <w:rFonts w:ascii="UT Sans" w:hAnsi="UT Sans"/>
          <w:sz w:val="24"/>
          <w:szCs w:val="24"/>
          <w:lang w:val="en"/>
        </w:rPr>
        <w:t xml:space="preserve">It was demonstrated that some urinary metabolites are in a dependence with the bacterial growth in UTI and indicates the treatment direction. Therefore, </w:t>
      </w:r>
      <w:r w:rsidRPr="008A48DD">
        <w:rPr>
          <w:rFonts w:ascii="UT Sans" w:eastAsia="Times New Roman" w:hAnsi="UT Sans" w:cs="Courier New"/>
          <w:sz w:val="24"/>
          <w:szCs w:val="24"/>
          <w:lang w:val="en"/>
        </w:rPr>
        <w:t>there is a need to optimize the use of antibiotic therapy and propose rapid and specific techniques for the analysis of bioactive compounds of diagnostic importance in urine.</w:t>
      </w:r>
    </w:p>
    <w:p w14:paraId="4BFB9E69" w14:textId="51BDE63E" w:rsidR="00AB0A04" w:rsidRPr="008A48DD" w:rsidRDefault="00AB0A04" w:rsidP="00647CBE">
      <w:pPr>
        <w:spacing w:after="0" w:line="240" w:lineRule="auto"/>
        <w:ind w:firstLine="720"/>
        <w:jc w:val="both"/>
        <w:rPr>
          <w:rFonts w:ascii="UT Sans" w:eastAsia="Times New Roman" w:hAnsi="UT Sans" w:cs="Courier New"/>
          <w:sz w:val="24"/>
          <w:szCs w:val="24"/>
          <w:lang w:val="en"/>
        </w:rPr>
      </w:pPr>
      <w:r w:rsidRPr="008A48DD">
        <w:rPr>
          <w:rFonts w:ascii="UT Sans" w:eastAsia="Times New Roman" w:hAnsi="UT Sans" w:cs="Courier New"/>
          <w:sz w:val="24"/>
          <w:szCs w:val="24"/>
          <w:lang w:val="en"/>
        </w:rPr>
        <w:t xml:space="preserve">This study aims to identify and optimize an electrochemical method for the screening of </w:t>
      </w:r>
      <w:r w:rsidR="00647CBE" w:rsidRPr="008A48DD">
        <w:rPr>
          <w:rFonts w:ascii="UT Sans" w:eastAsia="Times New Roman" w:hAnsi="UT Sans" w:cs="Courier New"/>
          <w:sz w:val="24"/>
          <w:szCs w:val="24"/>
          <w:lang w:val="en"/>
        </w:rPr>
        <w:t xml:space="preserve">uric acid, </w:t>
      </w:r>
      <w:r w:rsidRPr="008A48DD">
        <w:rPr>
          <w:rFonts w:ascii="UT Sans" w:eastAsia="Times New Roman" w:hAnsi="UT Sans" w:cs="Courier New"/>
          <w:sz w:val="24"/>
          <w:szCs w:val="24"/>
          <w:lang w:val="en"/>
        </w:rPr>
        <w:t xml:space="preserve">using a </w:t>
      </w:r>
      <w:r w:rsidRPr="008A48DD">
        <w:rPr>
          <w:rFonts w:ascii="UT Sans" w:hAnsi="UT Sans"/>
          <w:sz w:val="24"/>
          <w:szCs w:val="24"/>
        </w:rPr>
        <w:t>screen-printed carbon electrode (DRP 150) with a platinum auxiliary electrode, with a pH variation from 2.6 to 7, by differential pulse voltammetry and a limit of detection of 0.048 mmol/L.</w:t>
      </w:r>
    </w:p>
    <w:p w14:paraId="0EF907E7" w14:textId="79AA8935" w:rsidR="00AB0A04" w:rsidRPr="008A48DD" w:rsidRDefault="00AB0A04" w:rsidP="00647CBE">
      <w:pPr>
        <w:spacing w:after="0" w:line="240" w:lineRule="auto"/>
        <w:ind w:firstLine="720"/>
        <w:jc w:val="both"/>
        <w:rPr>
          <w:rFonts w:ascii="UT Sans" w:hAnsi="UT Sans"/>
          <w:sz w:val="24"/>
          <w:szCs w:val="24"/>
        </w:rPr>
      </w:pPr>
      <w:r w:rsidRPr="008A48DD">
        <w:rPr>
          <w:rFonts w:ascii="UT Sans" w:hAnsi="UT Sans"/>
          <w:sz w:val="24"/>
          <w:szCs w:val="24"/>
        </w:rPr>
        <w:t>The results obtained sustains that this method is rapid and sensitive for testing uric acid and can be applied for testing urinary uric acid and</w:t>
      </w:r>
      <w:r w:rsidR="00647CBE" w:rsidRPr="008A48DD">
        <w:rPr>
          <w:rFonts w:ascii="UT Sans" w:hAnsi="UT Sans"/>
          <w:sz w:val="24"/>
          <w:szCs w:val="24"/>
        </w:rPr>
        <w:t xml:space="preserve"> as a model study for detection of</w:t>
      </w:r>
      <w:r w:rsidRPr="008A48DD">
        <w:rPr>
          <w:rFonts w:ascii="UT Sans" w:hAnsi="UT Sans"/>
          <w:sz w:val="24"/>
          <w:szCs w:val="24"/>
        </w:rPr>
        <w:t xml:space="preserve"> other urinary metabolites.</w:t>
      </w:r>
    </w:p>
    <w:p w14:paraId="7330FE69" w14:textId="534D5DE6" w:rsidR="000929B0" w:rsidRDefault="000929B0"/>
    <w:p w14:paraId="5A18161F" w14:textId="02D4FC20" w:rsidR="008A48DD" w:rsidRPr="008A48DD" w:rsidRDefault="008A48DD">
      <w:pPr>
        <w:rPr>
          <w:i/>
          <w:iCs/>
        </w:rPr>
      </w:pPr>
      <w:r w:rsidRPr="008A48DD">
        <w:rPr>
          <w:b/>
          <w:bCs/>
        </w:rPr>
        <w:t>Key words:</w:t>
      </w:r>
      <w:r>
        <w:rPr>
          <w:b/>
          <w:bCs/>
        </w:rPr>
        <w:t xml:space="preserve"> </w:t>
      </w:r>
      <w:r w:rsidRPr="008A48DD">
        <w:rPr>
          <w:i/>
          <w:iCs/>
        </w:rPr>
        <w:t>multi-drug-resistan</w:t>
      </w:r>
      <w:r>
        <w:rPr>
          <w:i/>
          <w:iCs/>
        </w:rPr>
        <w:t>ce</w:t>
      </w:r>
      <w:r w:rsidRPr="008A48DD">
        <w:rPr>
          <w:i/>
          <w:iCs/>
        </w:rPr>
        <w:t>, uric acid, electrodes</w:t>
      </w:r>
    </w:p>
    <w:p w14:paraId="054E469F" w14:textId="77777777" w:rsidR="00AB0A04" w:rsidRDefault="00AB0A04"/>
    <w:sectPr w:rsidR="00AB0A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T Sans">
    <w:altName w:val="Calibri"/>
    <w:charset w:val="00"/>
    <w:family w:val="auto"/>
    <w:pitch w:val="variable"/>
    <w:sig w:usb0="00000007" w:usb1="00000001" w:usb2="00000000" w:usb3="00000000" w:csb0="00000093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0A04"/>
    <w:rsid w:val="00035837"/>
    <w:rsid w:val="000929B0"/>
    <w:rsid w:val="00647CBE"/>
    <w:rsid w:val="008A48DD"/>
    <w:rsid w:val="00AB0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CC6065"/>
  <w15:docId w15:val="{3F1F0563-3770-450C-ABEA-EA25528B6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0A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AB0A04"/>
    <w:rPr>
      <w:i/>
      <w:iCs/>
    </w:rPr>
  </w:style>
  <w:style w:type="character" w:customStyle="1" w:styleId="y2iqfc">
    <w:name w:val="y2iqfc"/>
    <w:basedOn w:val="DefaultParagraphFont"/>
    <w:rsid w:val="00AB0A04"/>
  </w:style>
  <w:style w:type="character" w:styleId="PlaceholderText">
    <w:name w:val="Placeholder Text"/>
    <w:basedOn w:val="DefaultParagraphFont"/>
    <w:uiPriority w:val="99"/>
    <w:semiHidden/>
    <w:rsid w:val="0003583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Ligia Chelmea</dc:creator>
  <cp:lastModifiedBy>Ligia Chelmea</cp:lastModifiedBy>
  <cp:revision>3</cp:revision>
  <dcterms:created xsi:type="dcterms:W3CDTF">2022-06-27T13:26:00Z</dcterms:created>
  <dcterms:modified xsi:type="dcterms:W3CDTF">2022-06-27T18:14:00Z</dcterms:modified>
</cp:coreProperties>
</file>